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5325"/>
      </w:tblGrid>
      <w:tr w:rsidR="00486C91" w:rsidRPr="00A8397C" w:rsidTr="00A05E8D">
        <w:trPr>
          <w:trHeight w:val="1308"/>
        </w:trPr>
        <w:tc>
          <w:tcPr>
            <w:tcW w:w="9606" w:type="dxa"/>
          </w:tcPr>
          <w:p w:rsidR="00486C91" w:rsidRDefault="00486C91" w:rsidP="00750D78">
            <w:pPr>
              <w:pStyle w:val="Default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Lettre </w:t>
            </w:r>
            <w:r w:rsidR="00750D78">
              <w:rPr>
                <w:b/>
                <w:bCs/>
                <w:sz w:val="40"/>
                <w:szCs w:val="40"/>
              </w:rPr>
              <w:t>o</w:t>
            </w:r>
            <w:r>
              <w:rPr>
                <w:b/>
                <w:bCs/>
                <w:sz w:val="40"/>
                <w:szCs w:val="40"/>
              </w:rPr>
              <w:t>uverte au Bâtonnier de P</w:t>
            </w:r>
            <w:r w:rsidR="00750D78">
              <w:rPr>
                <w:b/>
                <w:bCs/>
                <w:sz w:val="40"/>
                <w:szCs w:val="40"/>
              </w:rPr>
              <w:t>aris</w:t>
            </w:r>
          </w:p>
          <w:p w:rsidR="00486C91" w:rsidRDefault="00750D78" w:rsidP="00750D7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486C91">
              <w:rPr>
                <w:b/>
                <w:sz w:val="28"/>
                <w:szCs w:val="28"/>
              </w:rPr>
              <w:t xml:space="preserve">e la part d’Elizabeth OSTER, Elisabeth CAULY </w:t>
            </w:r>
            <w:r w:rsidR="00A8397C">
              <w:rPr>
                <w:b/>
                <w:sz w:val="28"/>
                <w:szCs w:val="28"/>
              </w:rPr>
              <w:t>et Avi BITTON</w:t>
            </w:r>
            <w:r>
              <w:rPr>
                <w:b/>
                <w:sz w:val="28"/>
                <w:szCs w:val="28"/>
              </w:rPr>
              <w:t>,</w:t>
            </w:r>
          </w:p>
          <w:p w:rsidR="00486C91" w:rsidRPr="007246A6" w:rsidRDefault="00486C91" w:rsidP="00750D7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246A6">
              <w:rPr>
                <w:b/>
                <w:sz w:val="28"/>
                <w:szCs w:val="28"/>
              </w:rPr>
              <w:t>Membre</w:t>
            </w:r>
            <w:r>
              <w:rPr>
                <w:b/>
                <w:sz w:val="28"/>
                <w:szCs w:val="28"/>
              </w:rPr>
              <w:t>s</w:t>
            </w:r>
            <w:r w:rsidR="00750D78">
              <w:rPr>
                <w:b/>
                <w:sz w:val="28"/>
                <w:szCs w:val="28"/>
              </w:rPr>
              <w:t xml:space="preserve"> du C</w:t>
            </w:r>
            <w:r w:rsidRPr="007246A6">
              <w:rPr>
                <w:b/>
                <w:sz w:val="28"/>
                <w:szCs w:val="28"/>
              </w:rPr>
              <w:t>onseil de l’Ordre de P</w:t>
            </w:r>
            <w:r w:rsidR="00750D78">
              <w:rPr>
                <w:b/>
                <w:sz w:val="28"/>
                <w:szCs w:val="28"/>
              </w:rPr>
              <w:t>aris</w:t>
            </w:r>
          </w:p>
          <w:p w:rsidR="00486C91" w:rsidRPr="007246A6" w:rsidRDefault="00486C91" w:rsidP="00750D78">
            <w:pPr>
              <w:pStyle w:val="Default"/>
              <w:jc w:val="both"/>
              <w:rPr>
                <w:b/>
                <w:bCs/>
                <w:sz w:val="27"/>
                <w:szCs w:val="27"/>
              </w:rPr>
            </w:pPr>
          </w:p>
          <w:p w:rsidR="00942199" w:rsidRDefault="00942199" w:rsidP="00750D7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</w:t>
            </w:r>
          </w:p>
          <w:p w:rsidR="00942199" w:rsidRDefault="00942199" w:rsidP="00750D7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Cs/>
              </w:rPr>
              <w:t xml:space="preserve">Paris, le 2 décembre 2014. </w:t>
            </w:r>
          </w:p>
          <w:p w:rsidR="00942199" w:rsidRDefault="00942199" w:rsidP="00750D78">
            <w:pPr>
              <w:pStyle w:val="Default"/>
              <w:jc w:val="both"/>
              <w:rPr>
                <w:bCs/>
              </w:rPr>
            </w:pPr>
          </w:p>
          <w:p w:rsidR="00942199" w:rsidRDefault="00942199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t>Monsieur le Bâtonnier,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t>En no</w:t>
            </w:r>
            <w:r w:rsidR="00750D78" w:rsidRPr="00750D78">
              <w:rPr>
                <w:bCs/>
              </w:rPr>
              <w:t>s</w:t>
            </w:r>
            <w:r w:rsidRPr="00750D78">
              <w:rPr>
                <w:bCs/>
              </w:rPr>
              <w:t xml:space="preserve"> qualité</w:t>
            </w:r>
            <w:r w:rsidR="00750D78" w:rsidRPr="00750D78">
              <w:rPr>
                <w:bCs/>
              </w:rPr>
              <w:t>s</w:t>
            </w:r>
            <w:r w:rsidRPr="00750D78">
              <w:rPr>
                <w:bCs/>
              </w:rPr>
              <w:t xml:space="preserve"> d’élu</w:t>
            </w:r>
            <w:r w:rsidR="00750D78" w:rsidRPr="00750D78">
              <w:rPr>
                <w:bCs/>
              </w:rPr>
              <w:t>s</w:t>
            </w:r>
            <w:r w:rsidRPr="00750D78">
              <w:rPr>
                <w:bCs/>
              </w:rPr>
              <w:t xml:space="preserve">, </w:t>
            </w:r>
            <w:r w:rsidR="00750D78" w:rsidRPr="00750D78">
              <w:rPr>
                <w:bCs/>
              </w:rPr>
              <w:t>et afin de rendre compte à nos C</w:t>
            </w:r>
            <w:r w:rsidRPr="00750D78">
              <w:rPr>
                <w:bCs/>
              </w:rPr>
              <w:t>onfrères dont nous portons les voix et les attentes,  nous tenons à marquer officiellement notre réprobation</w:t>
            </w:r>
            <w:r w:rsidR="00750D78" w:rsidRPr="00750D78">
              <w:rPr>
                <w:bCs/>
              </w:rPr>
              <w:t xml:space="preserve"> face aux dérives actuelles du C</w:t>
            </w:r>
            <w:r w:rsidRPr="00750D78">
              <w:rPr>
                <w:bCs/>
              </w:rPr>
              <w:t>onseil de l’Ordre de P</w:t>
            </w:r>
            <w:r w:rsidR="00750D78" w:rsidRPr="00750D78">
              <w:rPr>
                <w:bCs/>
              </w:rPr>
              <w:t>aris</w:t>
            </w:r>
            <w:r w:rsidRPr="00750D78">
              <w:rPr>
                <w:bCs/>
              </w:rPr>
              <w:t xml:space="preserve"> que vous présidez.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br/>
              <w:t>Les méthodes que vous employez pour soutenir le projet M</w:t>
            </w:r>
            <w:r w:rsidR="00750D78" w:rsidRPr="00750D78">
              <w:rPr>
                <w:bCs/>
              </w:rPr>
              <w:t>acron</w:t>
            </w:r>
            <w:r w:rsidRPr="00750D78">
              <w:rPr>
                <w:bCs/>
              </w:rPr>
              <w:t xml:space="preserve"> nous apparaissent </w:t>
            </w:r>
            <w:r w:rsidRPr="00750D78">
              <w:rPr>
                <w:b/>
                <w:bCs/>
              </w:rPr>
              <w:t xml:space="preserve">indignes </w:t>
            </w:r>
            <w:r w:rsidRPr="00750D78">
              <w:rPr>
                <w:bCs/>
              </w:rPr>
              <w:t xml:space="preserve">et nous tenons à en informer solennellement </w:t>
            </w:r>
            <w:r w:rsidR="00750D78" w:rsidRPr="00750D78">
              <w:rPr>
                <w:bCs/>
              </w:rPr>
              <w:t>l’ensemble de nos C</w:t>
            </w:r>
            <w:r w:rsidRPr="00750D78">
              <w:rPr>
                <w:bCs/>
              </w:rPr>
              <w:t>onfrères, qui sont tenus dans la plus grande ignorance de la réalité de ce projet.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/>
                <w:bCs/>
              </w:rPr>
              <w:t>La France entière des Avocats a condamné unanimement ce projet</w:t>
            </w:r>
            <w:r w:rsidRPr="00750D78">
              <w:rPr>
                <w:bCs/>
              </w:rPr>
              <w:t xml:space="preserve"> </w:t>
            </w:r>
            <w:r w:rsidRPr="00750D78">
              <w:rPr>
                <w:b/>
                <w:bCs/>
              </w:rPr>
              <w:t>néfaste </w:t>
            </w:r>
            <w:r w:rsidRPr="00750D78">
              <w:rPr>
                <w:bCs/>
              </w:rPr>
              <w:t>: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750D78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t xml:space="preserve">- </w:t>
            </w:r>
            <w:r w:rsidR="00486C91" w:rsidRPr="00750D78">
              <w:rPr>
                <w:b/>
                <w:bCs/>
              </w:rPr>
              <w:t>qui marque la</w:t>
            </w:r>
            <w:r w:rsidR="00486C91" w:rsidRPr="00750D78">
              <w:rPr>
                <w:bCs/>
              </w:rPr>
              <w:t xml:space="preserve"> </w:t>
            </w:r>
            <w:r w:rsidR="00486C91" w:rsidRPr="00750D78">
              <w:rPr>
                <w:b/>
                <w:bCs/>
              </w:rPr>
              <w:t xml:space="preserve">fin de  notre </w:t>
            </w:r>
            <w:r w:rsidRPr="00750D78">
              <w:rPr>
                <w:b/>
                <w:bCs/>
              </w:rPr>
              <w:t>i</w:t>
            </w:r>
            <w:r w:rsidR="00486C91" w:rsidRPr="00750D78">
              <w:rPr>
                <w:b/>
                <w:bCs/>
              </w:rPr>
              <w:t>ndépendance</w:t>
            </w:r>
            <w:r w:rsidR="00486C91" w:rsidRPr="00750D78">
              <w:rPr>
                <w:bCs/>
              </w:rPr>
              <w:t xml:space="preserve"> par la création du Nouvel Avocat Salarié en Entreprise </w:t>
            </w:r>
            <w:r w:rsidRPr="00750D78">
              <w:rPr>
                <w:bCs/>
              </w:rPr>
              <w:t>(</w:t>
            </w:r>
            <w:r w:rsidR="00486C91" w:rsidRPr="00750D78">
              <w:rPr>
                <w:bCs/>
              </w:rPr>
              <w:t>ou N.A.S.E.</w:t>
            </w:r>
            <w:r w:rsidRPr="00750D78">
              <w:rPr>
                <w:bCs/>
              </w:rPr>
              <w:t>)</w:t>
            </w:r>
            <w:r w:rsidR="00486C91" w:rsidRPr="00750D78">
              <w:rPr>
                <w:bCs/>
              </w:rPr>
              <w:t xml:space="preserve"> permettant aux </w:t>
            </w:r>
            <w:r w:rsidR="00486C91" w:rsidRPr="00750D78">
              <w:rPr>
                <w:b/>
                <w:bCs/>
              </w:rPr>
              <w:t>200.000 juristes d’entreprise</w:t>
            </w:r>
            <w:r w:rsidR="00486C91" w:rsidRPr="00750D78">
              <w:rPr>
                <w:bCs/>
              </w:rPr>
              <w:t xml:space="preserve"> de devenir avocats sans condition de diplôme, et </w:t>
            </w:r>
            <w:r w:rsidR="00486C91" w:rsidRPr="00750D78">
              <w:rPr>
                <w:b/>
                <w:bCs/>
                <w:i/>
              </w:rPr>
              <w:t>qui pourr</w:t>
            </w:r>
            <w:r w:rsidR="006D6360" w:rsidRPr="00750D78">
              <w:rPr>
                <w:b/>
                <w:bCs/>
                <w:i/>
              </w:rPr>
              <w:t>ai</w:t>
            </w:r>
            <w:r w:rsidRPr="00750D78">
              <w:rPr>
                <w:b/>
                <w:bCs/>
                <w:i/>
              </w:rPr>
              <w:t>en</w:t>
            </w:r>
            <w:r w:rsidR="00486C91" w:rsidRPr="00750D78">
              <w:rPr>
                <w:b/>
                <w:bCs/>
                <w:i/>
              </w:rPr>
              <w:t xml:space="preserve">t plaider </w:t>
            </w:r>
            <w:r w:rsidR="00486C91" w:rsidRPr="00750D78">
              <w:rPr>
                <w:bCs/>
              </w:rPr>
              <w:t>devant toutes les juridictions de 1</w:t>
            </w:r>
            <w:r w:rsidR="00486C91" w:rsidRPr="00750D78">
              <w:rPr>
                <w:bCs/>
                <w:vertAlign w:val="superscript"/>
              </w:rPr>
              <w:t>ère</w:t>
            </w:r>
            <w:r w:rsidR="00486C91" w:rsidRPr="00750D78">
              <w:rPr>
                <w:bCs/>
              </w:rPr>
              <w:t xml:space="preserve"> instance</w:t>
            </w:r>
            <w:r w:rsidRPr="00750D78">
              <w:rPr>
                <w:bCs/>
              </w:rPr>
              <w:t xml:space="preserve"> (Conseil de </w:t>
            </w:r>
            <w:proofErr w:type="spellStart"/>
            <w:r w:rsidRPr="00750D78">
              <w:rPr>
                <w:bCs/>
              </w:rPr>
              <w:t>Prud’Hommes</w:t>
            </w:r>
            <w:proofErr w:type="spellEnd"/>
            <w:r w:rsidRPr="00750D78">
              <w:rPr>
                <w:bCs/>
              </w:rPr>
              <w:t>, Tribunal de commerce, …)</w:t>
            </w:r>
            <w:r w:rsidR="00486C91" w:rsidRPr="00750D78">
              <w:rPr>
                <w:bCs/>
              </w:rPr>
              <w:t>, sauf le Tribunal de Grande Instance</w:t>
            </w:r>
            <w:r w:rsidRPr="00750D78">
              <w:rPr>
                <w:bCs/>
              </w:rPr>
              <w:t xml:space="preserve"> </w:t>
            </w:r>
            <w:r w:rsidR="00486C91" w:rsidRPr="00750D78">
              <w:rPr>
                <w:bCs/>
              </w:rPr>
              <w:t>(article 10</w:t>
            </w:r>
            <w:r w:rsidRPr="00750D78">
              <w:rPr>
                <w:bCs/>
              </w:rPr>
              <w:t>,</w:t>
            </w:r>
            <w:r w:rsidR="00A8397C" w:rsidRPr="00750D78">
              <w:rPr>
                <w:bCs/>
              </w:rPr>
              <w:t xml:space="preserve"> Macron</w:t>
            </w:r>
            <w:r w:rsidRPr="00750D78">
              <w:rPr>
                <w:bCs/>
              </w:rPr>
              <w:t xml:space="preserve"> </w:t>
            </w:r>
            <w:r w:rsidR="00A8397C" w:rsidRPr="00750D78">
              <w:rPr>
                <w:bCs/>
              </w:rPr>
              <w:t>2</w:t>
            </w:r>
            <w:r w:rsidR="00486C91" w:rsidRPr="00750D78">
              <w:rPr>
                <w:bCs/>
              </w:rPr>
              <w:t>)</w:t>
            </w:r>
            <w:r w:rsidRPr="00750D78">
              <w:rPr>
                <w:bCs/>
              </w:rPr>
              <w:t xml:space="preserve"> ; 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750D78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t xml:space="preserve">- </w:t>
            </w:r>
            <w:r w:rsidR="00486C91" w:rsidRPr="00750D78">
              <w:rPr>
                <w:b/>
                <w:bCs/>
              </w:rPr>
              <w:t>qui favorise la</w:t>
            </w:r>
            <w:r w:rsidR="00486C91" w:rsidRPr="00750D78">
              <w:rPr>
                <w:bCs/>
              </w:rPr>
              <w:t xml:space="preserve"> </w:t>
            </w:r>
            <w:r w:rsidR="00486C91" w:rsidRPr="00750D78">
              <w:rPr>
                <w:b/>
                <w:bCs/>
              </w:rPr>
              <w:t>montée en puissance des experts-comptables</w:t>
            </w:r>
            <w:r w:rsidRPr="00750D78">
              <w:rPr>
                <w:b/>
                <w:bCs/>
              </w:rPr>
              <w:t>,</w:t>
            </w:r>
            <w:r w:rsidR="00486C91" w:rsidRPr="00750D78">
              <w:rPr>
                <w:b/>
                <w:bCs/>
              </w:rPr>
              <w:t xml:space="preserve"> qui feraient du droit à titre principal et deviendraient le </w:t>
            </w:r>
            <w:r w:rsidRPr="00750D78">
              <w:rPr>
                <w:b/>
                <w:bCs/>
              </w:rPr>
              <w:t>c</w:t>
            </w:r>
            <w:r w:rsidR="00486C91" w:rsidRPr="00750D78">
              <w:rPr>
                <w:b/>
                <w:bCs/>
              </w:rPr>
              <w:t>onseil de référence des entreprises (article</w:t>
            </w:r>
            <w:r w:rsidR="00486C91" w:rsidRPr="00750D78">
              <w:rPr>
                <w:bCs/>
              </w:rPr>
              <w:t xml:space="preserve"> 14 </w:t>
            </w:r>
            <w:r w:rsidR="00A8397C" w:rsidRPr="00750D78">
              <w:rPr>
                <w:bCs/>
              </w:rPr>
              <w:t xml:space="preserve">de Macron 2 </w:t>
            </w:r>
            <w:r w:rsidR="00486C91" w:rsidRPr="00750D78">
              <w:rPr>
                <w:bCs/>
              </w:rPr>
              <w:t>et article 45 du rapport de la Commission de Simplification du Droit)</w:t>
            </w:r>
            <w:r w:rsidRPr="00750D78">
              <w:rPr>
                <w:bCs/>
              </w:rPr>
              <w:t xml:space="preserve"> ; 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t xml:space="preserve">- </w:t>
            </w:r>
            <w:r w:rsidRPr="00750D78">
              <w:rPr>
                <w:b/>
                <w:bCs/>
              </w:rPr>
              <w:t>qui permet aux notaires de se développer et de conserver leur monopole</w:t>
            </w:r>
            <w:r w:rsidRPr="00750D78">
              <w:rPr>
                <w:bCs/>
              </w:rPr>
              <w:t xml:space="preserve"> (article 3</w:t>
            </w:r>
            <w:r w:rsidR="00A8397C" w:rsidRPr="00750D78">
              <w:rPr>
                <w:bCs/>
              </w:rPr>
              <w:t xml:space="preserve"> Macron 2</w:t>
            </w:r>
            <w:r w:rsidRPr="00750D78">
              <w:rPr>
                <w:bCs/>
              </w:rPr>
              <w:t>), en bénéficiant de la liberté d’installation, ce qui leur permettrait d’ouvrir de nombreuses études pour assurer un maill</w:t>
            </w:r>
            <w:r w:rsidR="00750D78" w:rsidRPr="00750D78">
              <w:rPr>
                <w:bCs/>
              </w:rPr>
              <w:t>age territorial, et devenir le c</w:t>
            </w:r>
            <w:r w:rsidRPr="00750D78">
              <w:rPr>
                <w:bCs/>
              </w:rPr>
              <w:t>onseil de référence</w:t>
            </w:r>
            <w:r w:rsidR="00750D78" w:rsidRPr="00750D78">
              <w:rPr>
                <w:bCs/>
              </w:rPr>
              <w:t xml:space="preserve"> des particuliers</w:t>
            </w:r>
            <w:r w:rsidRPr="00750D78">
              <w:rPr>
                <w:bCs/>
              </w:rPr>
              <w:t xml:space="preserve">, par </w:t>
            </w:r>
            <w:r w:rsidRPr="00750D78">
              <w:rPr>
                <w:bCs/>
                <w:i/>
              </w:rPr>
              <w:t>l’administration non contentieuse de la justice</w:t>
            </w:r>
            <w:r w:rsidRPr="00750D78">
              <w:rPr>
                <w:bCs/>
              </w:rPr>
              <w:t>, dont la délégation du divorce par  consentement mutuel qu’il revendique ouvertement</w:t>
            </w:r>
            <w:r w:rsidR="00750D78" w:rsidRPr="00750D78">
              <w:rPr>
                <w:bCs/>
              </w:rPr>
              <w:t xml:space="preserve"> ; </w:t>
            </w:r>
          </w:p>
          <w:p w:rsidR="00750D78" w:rsidRPr="00750D78" w:rsidRDefault="00750D78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t xml:space="preserve">- </w:t>
            </w:r>
            <w:r w:rsidRPr="00750D78">
              <w:rPr>
                <w:b/>
                <w:bCs/>
              </w:rPr>
              <w:t>qui autorise les capitaux extérieurs majoritaires</w:t>
            </w:r>
            <w:r w:rsidRPr="00750D78">
              <w:rPr>
                <w:bCs/>
              </w:rPr>
              <w:t xml:space="preserve"> dans nos structures</w:t>
            </w:r>
            <w:r w:rsidR="00750D78" w:rsidRPr="00750D78">
              <w:rPr>
                <w:bCs/>
              </w:rPr>
              <w:t>.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/>
                <w:bCs/>
              </w:rPr>
              <w:t>La profession d’Avocat n’a rien obtenu,</w:t>
            </w:r>
            <w:r w:rsidRPr="00750D78">
              <w:rPr>
                <w:bCs/>
              </w:rPr>
              <w:t xml:space="preserve"> </w:t>
            </w:r>
            <w:r w:rsidRPr="00750D78">
              <w:rPr>
                <w:b/>
                <w:bCs/>
              </w:rPr>
              <w:t xml:space="preserve"> pas même la suppression du monopole immobilier des notaires qui était pourtant préconisée par le rapport de l’IGF : nous sommes laminés par cet ensemble de mesures contreproductives.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/>
                <w:bCs/>
              </w:rPr>
              <w:t>Ce projet</w:t>
            </w:r>
            <w:r w:rsidRPr="00750D78">
              <w:rPr>
                <w:bCs/>
              </w:rPr>
              <w:t xml:space="preserve"> </w:t>
            </w:r>
            <w:r w:rsidRPr="00750D78">
              <w:rPr>
                <w:b/>
                <w:bCs/>
              </w:rPr>
              <w:t>entrainera des fermetures massives de cabinets libéraux.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/>
                <w:bCs/>
              </w:rPr>
              <w:lastRenderedPageBreak/>
              <w:t>Face à ce désastre, au lieu de d</w:t>
            </w:r>
            <w:r w:rsidR="00750D78" w:rsidRPr="00750D78">
              <w:rPr>
                <w:b/>
                <w:bCs/>
              </w:rPr>
              <w:t>éfendre la profession d ‘avocat,</w:t>
            </w:r>
            <w:r w:rsidR="00750D78">
              <w:rPr>
                <w:b/>
                <w:bCs/>
                <w:u w:val="single"/>
              </w:rPr>
              <w:t xml:space="preserve"> </w:t>
            </w:r>
            <w:r w:rsidR="00750D78">
              <w:rPr>
                <w:b/>
                <w:bCs/>
              </w:rPr>
              <w:t>v</w:t>
            </w:r>
            <w:r w:rsidRPr="00750D78">
              <w:rPr>
                <w:b/>
                <w:bCs/>
              </w:rPr>
              <w:t>ous vous faîtes le chantre de ce projet et</w:t>
            </w:r>
            <w:r w:rsidR="00750D78">
              <w:rPr>
                <w:b/>
                <w:bCs/>
              </w:rPr>
              <w:t>,</w:t>
            </w:r>
            <w:r w:rsidRPr="00750D78">
              <w:rPr>
                <w:b/>
                <w:bCs/>
              </w:rPr>
              <w:t xml:space="preserve"> à cette fin, vous faites de l’obstruction au sein de notre Conseil</w:t>
            </w:r>
            <w:r w:rsidRPr="00750D78">
              <w:rPr>
                <w:bCs/>
              </w:rPr>
              <w:t xml:space="preserve"> </w:t>
            </w:r>
            <w:r w:rsidR="00750D78">
              <w:rPr>
                <w:b/>
                <w:bCs/>
              </w:rPr>
              <w:t>de l’Ordre</w:t>
            </w:r>
            <w:r w:rsidRPr="00750D78">
              <w:rPr>
                <w:bCs/>
              </w:rPr>
              <w:t xml:space="preserve"> pour que ne soient pas </w:t>
            </w:r>
            <w:r w:rsidR="006D6360" w:rsidRPr="00750D78">
              <w:rPr>
                <w:bCs/>
              </w:rPr>
              <w:t>prises</w:t>
            </w:r>
            <w:r w:rsidRPr="00750D78">
              <w:rPr>
                <w:bCs/>
              </w:rPr>
              <w:t xml:space="preserve">  les mesures essentielles qui auraient per</w:t>
            </w:r>
            <w:r w:rsidR="00750D78">
              <w:rPr>
                <w:bCs/>
              </w:rPr>
              <w:t>mis de déterminer notre avenir.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  <w:u w:val="single"/>
              </w:rPr>
            </w:pPr>
            <w:r w:rsidRPr="00750D78">
              <w:rPr>
                <w:b/>
                <w:bCs/>
                <w:u w:val="single"/>
              </w:rPr>
              <w:t>Ainsi, nous dénonçons votre refus systématique de toute concertation :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  <w:u w:val="single"/>
              </w:rPr>
            </w:pPr>
          </w:p>
          <w:p w:rsidR="00486C91" w:rsidRPr="00750D78" w:rsidRDefault="00486C91" w:rsidP="00750D78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750D78">
              <w:rPr>
                <w:b/>
                <w:bCs/>
                <w:u w:val="single"/>
              </w:rPr>
              <w:t>Refus de convoquer une Assemblée Générale des A</w:t>
            </w:r>
            <w:r w:rsidR="00750D78">
              <w:rPr>
                <w:b/>
                <w:bCs/>
                <w:u w:val="single"/>
              </w:rPr>
              <w:t>vocats</w:t>
            </w:r>
            <w:r w:rsidRPr="00750D78">
              <w:rPr>
                <w:bCs/>
              </w:rPr>
              <w:t xml:space="preserve"> : </w:t>
            </w:r>
            <w:r w:rsidR="00C73EE2">
              <w:rPr>
                <w:b/>
                <w:bCs/>
              </w:rPr>
              <w:t>t</w:t>
            </w:r>
            <w:r w:rsidR="00750D78">
              <w:rPr>
                <w:b/>
                <w:bCs/>
              </w:rPr>
              <w:t>ous</w:t>
            </w:r>
            <w:r w:rsidRPr="00750D78">
              <w:rPr>
                <w:bCs/>
              </w:rPr>
              <w:t xml:space="preserve"> les barreaux de France ont été réunis en Assemblée Générale, dans 160 barreaux </w:t>
            </w:r>
            <w:r w:rsidRPr="00750D78">
              <w:rPr>
                <w:b/>
                <w:bCs/>
              </w:rPr>
              <w:t>sauf P</w:t>
            </w:r>
            <w:r w:rsidR="00C73EE2">
              <w:rPr>
                <w:b/>
                <w:bCs/>
              </w:rPr>
              <w:t xml:space="preserve">aris </w:t>
            </w:r>
            <w:r w:rsidRPr="00750D78">
              <w:rPr>
                <w:bCs/>
              </w:rPr>
              <w:t xml:space="preserve">: malgré la demande qui vous a été renouvelée lors du </w:t>
            </w:r>
            <w:r w:rsidR="00C73EE2">
              <w:rPr>
                <w:bCs/>
              </w:rPr>
              <w:t>C</w:t>
            </w:r>
            <w:r w:rsidRPr="00750D78">
              <w:rPr>
                <w:bCs/>
              </w:rPr>
              <w:t>onseil du 25</w:t>
            </w:r>
            <w:r w:rsidR="00C73EE2">
              <w:rPr>
                <w:bCs/>
              </w:rPr>
              <w:t xml:space="preserve"> novembre </w:t>
            </w:r>
            <w:r w:rsidRPr="00750D78">
              <w:rPr>
                <w:bCs/>
              </w:rPr>
              <w:t>2014, vous préférez louer la salle de la M</w:t>
            </w:r>
            <w:r w:rsidR="00C73EE2">
              <w:rPr>
                <w:bCs/>
              </w:rPr>
              <w:t>utualité</w:t>
            </w:r>
            <w:r w:rsidRPr="00750D78">
              <w:rPr>
                <w:bCs/>
              </w:rPr>
              <w:t xml:space="preserve"> pour offrir du spectacle en invitant votre ami Monsieur M</w:t>
            </w:r>
            <w:r w:rsidR="00C73EE2">
              <w:rPr>
                <w:bCs/>
              </w:rPr>
              <w:t>ontebourg</w:t>
            </w:r>
            <w:r w:rsidR="006D6360" w:rsidRPr="00750D78">
              <w:rPr>
                <w:bCs/>
              </w:rPr>
              <w:t xml:space="preserve"> à une Berryer</w:t>
            </w:r>
            <w:r w:rsidR="00C73EE2">
              <w:rPr>
                <w:bCs/>
              </w:rPr>
              <w:t xml:space="preserve"> </w:t>
            </w:r>
            <w:r w:rsidRPr="00750D78">
              <w:rPr>
                <w:bCs/>
              </w:rPr>
              <w:t>!</w:t>
            </w:r>
          </w:p>
          <w:p w:rsidR="00486C91" w:rsidRPr="00750D78" w:rsidRDefault="00486C91" w:rsidP="00750D78">
            <w:pPr>
              <w:pStyle w:val="Default"/>
              <w:ind w:left="720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750D78">
              <w:rPr>
                <w:b/>
                <w:bCs/>
                <w:u w:val="single"/>
              </w:rPr>
              <w:t>Refus de soumettre au vote du Conseil de</w:t>
            </w:r>
            <w:r w:rsidR="00C73EE2">
              <w:rPr>
                <w:b/>
                <w:bCs/>
                <w:u w:val="single"/>
              </w:rPr>
              <w:t xml:space="preserve"> l’Ordre les deux projets en lic</w:t>
            </w:r>
            <w:r w:rsidRPr="00750D78">
              <w:rPr>
                <w:b/>
                <w:bCs/>
                <w:u w:val="single"/>
              </w:rPr>
              <w:t>e</w:t>
            </w:r>
            <w:r w:rsidR="006D6360" w:rsidRPr="00750D78">
              <w:rPr>
                <w:b/>
                <w:bCs/>
                <w:u w:val="single"/>
              </w:rPr>
              <w:t> :</w:t>
            </w:r>
            <w:r w:rsidRPr="00750D78">
              <w:rPr>
                <w:bCs/>
              </w:rPr>
              <w:t xml:space="preserve"> </w:t>
            </w:r>
            <w:r w:rsidR="00C73EE2">
              <w:rPr>
                <w:bCs/>
              </w:rPr>
              <w:t>m</w:t>
            </w:r>
            <w:r w:rsidRPr="00750D78">
              <w:rPr>
                <w:bCs/>
              </w:rPr>
              <w:t xml:space="preserve">algré la demande qui vous en </w:t>
            </w:r>
            <w:r w:rsidR="006D6360" w:rsidRPr="00750D78">
              <w:rPr>
                <w:bCs/>
              </w:rPr>
              <w:t xml:space="preserve">a </w:t>
            </w:r>
            <w:r w:rsidRPr="00750D78">
              <w:rPr>
                <w:bCs/>
              </w:rPr>
              <w:t xml:space="preserve">été faite le </w:t>
            </w:r>
            <w:r w:rsidRPr="00750D78">
              <w:rPr>
                <w:b/>
                <w:bCs/>
              </w:rPr>
              <w:t>18</w:t>
            </w:r>
            <w:r w:rsidR="00C73EE2">
              <w:rPr>
                <w:b/>
                <w:bCs/>
              </w:rPr>
              <w:t xml:space="preserve"> novembre </w:t>
            </w:r>
            <w:r w:rsidRPr="00750D78">
              <w:rPr>
                <w:b/>
                <w:bCs/>
              </w:rPr>
              <w:t>2014</w:t>
            </w:r>
            <w:r w:rsidR="006D6360" w:rsidRPr="00750D78">
              <w:rPr>
                <w:bCs/>
              </w:rPr>
              <w:t xml:space="preserve">, vous avez refusé le droit au </w:t>
            </w:r>
            <w:r w:rsidR="00C73EE2">
              <w:rPr>
                <w:bCs/>
              </w:rPr>
              <w:t>C</w:t>
            </w:r>
            <w:r w:rsidR="006D6360" w:rsidRPr="00750D78">
              <w:rPr>
                <w:bCs/>
              </w:rPr>
              <w:t xml:space="preserve">onseil de l’ordre de se prononcer entre </w:t>
            </w:r>
            <w:r w:rsidRPr="00750D78">
              <w:rPr>
                <w:bCs/>
              </w:rPr>
              <w:t xml:space="preserve">le projet de Madame </w:t>
            </w:r>
            <w:proofErr w:type="spellStart"/>
            <w:r w:rsidRPr="00750D78">
              <w:rPr>
                <w:bCs/>
              </w:rPr>
              <w:t>T</w:t>
            </w:r>
            <w:r w:rsidR="00C73EE2">
              <w:rPr>
                <w:bCs/>
              </w:rPr>
              <w:t>aubira</w:t>
            </w:r>
            <w:proofErr w:type="spellEnd"/>
            <w:r w:rsidRPr="00750D78">
              <w:rPr>
                <w:bCs/>
              </w:rPr>
              <w:t>, qui ne prévoit qu’un renforcement de la confidentialité des juristes d’entreprise</w:t>
            </w:r>
            <w:r w:rsidR="00C73EE2">
              <w:rPr>
                <w:bCs/>
              </w:rPr>
              <w:t xml:space="preserve">, </w:t>
            </w:r>
            <w:r w:rsidRPr="00750D78">
              <w:rPr>
                <w:bCs/>
              </w:rPr>
              <w:t>et le projet dévastateur de Monsieur M</w:t>
            </w:r>
            <w:r w:rsidR="00C73EE2">
              <w:rPr>
                <w:bCs/>
              </w:rPr>
              <w:t>acron, car</w:t>
            </w:r>
            <w:r w:rsidRPr="00750D78">
              <w:rPr>
                <w:bCs/>
              </w:rPr>
              <w:t xml:space="preserve"> le vote était prématuré selon vous !</w:t>
            </w:r>
          </w:p>
          <w:p w:rsidR="00C73EE2" w:rsidRPr="00C73EE2" w:rsidRDefault="00C73EE2" w:rsidP="00C73EE2">
            <w:pPr>
              <w:pStyle w:val="Default"/>
              <w:ind w:left="720"/>
              <w:jc w:val="both"/>
              <w:rPr>
                <w:bCs/>
              </w:rPr>
            </w:pPr>
          </w:p>
          <w:p w:rsidR="00C73EE2" w:rsidRDefault="00486C91" w:rsidP="00C73EE2">
            <w:pPr>
              <w:pStyle w:val="Default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750D78">
              <w:rPr>
                <w:b/>
                <w:bCs/>
                <w:u w:val="single"/>
              </w:rPr>
              <w:t>Refus d’inscrire à l’ordre du jour la participation du Barreau de P</w:t>
            </w:r>
            <w:r w:rsidR="00C73EE2">
              <w:rPr>
                <w:b/>
                <w:bCs/>
                <w:u w:val="single"/>
              </w:rPr>
              <w:t>aris à la journée de m</w:t>
            </w:r>
            <w:r w:rsidRPr="00750D78">
              <w:rPr>
                <w:b/>
                <w:bCs/>
                <w:u w:val="single"/>
              </w:rPr>
              <w:t xml:space="preserve">obilisation </w:t>
            </w:r>
            <w:r w:rsidR="00C73EE2">
              <w:rPr>
                <w:b/>
                <w:bCs/>
                <w:u w:val="single"/>
              </w:rPr>
              <w:t>n</w:t>
            </w:r>
            <w:r w:rsidRPr="00750D78">
              <w:rPr>
                <w:b/>
                <w:bCs/>
                <w:u w:val="single"/>
              </w:rPr>
              <w:t>ationale du 10 décembre prochain</w:t>
            </w:r>
            <w:r w:rsidR="005D7528" w:rsidRPr="00750D78">
              <w:rPr>
                <w:b/>
                <w:bCs/>
                <w:u w:val="single"/>
              </w:rPr>
              <w:t> </w:t>
            </w:r>
            <w:r w:rsidR="005D7528" w:rsidRPr="00750D78">
              <w:rPr>
                <w:b/>
                <w:bCs/>
              </w:rPr>
              <w:t xml:space="preserve">: </w:t>
            </w:r>
            <w:r w:rsidR="00C73EE2">
              <w:rPr>
                <w:b/>
                <w:bCs/>
              </w:rPr>
              <w:t>v</w:t>
            </w:r>
            <w:r w:rsidR="005D7528" w:rsidRPr="00750D78">
              <w:rPr>
                <w:b/>
                <w:bCs/>
              </w:rPr>
              <w:t>ous n’avez toujours pa</w:t>
            </w:r>
            <w:r w:rsidR="00C73EE2">
              <w:rPr>
                <w:b/>
                <w:bCs/>
              </w:rPr>
              <w:t>s inscrit à l’ordre du jour du C</w:t>
            </w:r>
            <w:r w:rsidR="005D7528" w:rsidRPr="00750D78">
              <w:rPr>
                <w:b/>
                <w:bCs/>
              </w:rPr>
              <w:t>onseil notre participation à cette journée de mobilisation</w:t>
            </w:r>
            <w:r w:rsidRPr="00750D78">
              <w:rPr>
                <w:bCs/>
              </w:rPr>
              <w:t xml:space="preserve"> votée par le Conseil National des Barreaux et au titre de laquelle 160 barreaux sur 161 sont mobilisés !</w:t>
            </w:r>
          </w:p>
          <w:p w:rsidR="00C73EE2" w:rsidRPr="00C73EE2" w:rsidRDefault="00C73EE2" w:rsidP="00C73EE2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5D7528" w:rsidP="00750D78">
            <w:pPr>
              <w:ind w:left="360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50D78">
              <w:rPr>
                <w:b/>
                <w:bCs/>
                <w:sz w:val="24"/>
                <w:szCs w:val="24"/>
                <w:u w:val="single"/>
              </w:rPr>
              <w:t>N</w:t>
            </w:r>
            <w:r w:rsidR="00486C91" w:rsidRPr="00750D78">
              <w:rPr>
                <w:b/>
                <w:bCs/>
                <w:sz w:val="24"/>
                <w:szCs w:val="24"/>
                <w:u w:val="single"/>
              </w:rPr>
              <w:t>ous dénonçons la confiscation du débat démocratique au profit d’un prosélytisme actif, mené de concert avec le Cercle MONTESQUIEU</w:t>
            </w:r>
            <w:r w:rsidRPr="00750D78">
              <w:rPr>
                <w:b/>
                <w:bCs/>
                <w:sz w:val="24"/>
                <w:szCs w:val="24"/>
                <w:u w:val="single"/>
              </w:rPr>
              <w:t xml:space="preserve">, par </w:t>
            </w:r>
            <w:r w:rsidR="00486C91" w:rsidRPr="00750D78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:rsidR="00486C91" w:rsidRPr="00750D78" w:rsidRDefault="005D7528" w:rsidP="00C73EE2">
            <w:pPr>
              <w:pStyle w:val="Default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750D78">
              <w:rPr>
                <w:b/>
                <w:bCs/>
              </w:rPr>
              <w:t>L’</w:t>
            </w:r>
            <w:r w:rsidR="00C73EE2">
              <w:rPr>
                <w:b/>
                <w:bCs/>
              </w:rPr>
              <w:t>i</w:t>
            </w:r>
            <w:r w:rsidR="00486C91" w:rsidRPr="00750D78">
              <w:rPr>
                <w:b/>
                <w:bCs/>
              </w:rPr>
              <w:t>nscription par vos soins à l’ordre du jour</w:t>
            </w:r>
            <w:r w:rsidR="00C73EE2">
              <w:rPr>
                <w:b/>
                <w:bCs/>
              </w:rPr>
              <w:t>,</w:t>
            </w:r>
            <w:r w:rsidR="00486C91" w:rsidRPr="00750D78">
              <w:rPr>
                <w:bCs/>
              </w:rPr>
              <w:t xml:space="preserve"> par mail </w:t>
            </w:r>
            <w:r w:rsidR="00486C91" w:rsidRPr="00750D78">
              <w:rPr>
                <w:b/>
                <w:bCs/>
              </w:rPr>
              <w:t>reçu ce matin à 11 heures</w:t>
            </w:r>
            <w:r w:rsidR="00C73EE2">
              <w:rPr>
                <w:b/>
                <w:bCs/>
              </w:rPr>
              <w:t>,</w:t>
            </w:r>
            <w:r w:rsidR="00486C91" w:rsidRPr="00750D78">
              <w:rPr>
                <w:bCs/>
              </w:rPr>
              <w:t xml:space="preserve"> d’un projet de résolution communiqué deux heures avant le Conseil prévoyant déjà une modification du RIN fixant les conditions d’intégration du</w:t>
            </w:r>
            <w:r w:rsidR="00486C91" w:rsidRPr="00750D78">
              <w:rPr>
                <w:b/>
                <w:bCs/>
              </w:rPr>
              <w:t xml:space="preserve"> N.A.S.E au Barreau</w:t>
            </w:r>
            <w:r w:rsidR="00486C91" w:rsidRPr="00750D78">
              <w:rPr>
                <w:bCs/>
              </w:rPr>
              <w:t>, dans l’hypothèse où le projet de loi serait adopté !</w:t>
            </w:r>
          </w:p>
          <w:p w:rsidR="00C73EE2" w:rsidRDefault="00C73EE2" w:rsidP="00750D78">
            <w:pPr>
              <w:pStyle w:val="Default"/>
              <w:jc w:val="both"/>
              <w:rPr>
                <w:b/>
                <w:bCs/>
                <w:u w:val="single"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  <w:u w:val="single"/>
              </w:rPr>
            </w:pPr>
            <w:r w:rsidRPr="00750D78">
              <w:rPr>
                <w:b/>
                <w:bCs/>
                <w:u w:val="single"/>
              </w:rPr>
              <w:t>Nous vous demandons instamment de :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</w:rPr>
            </w:pPr>
            <w:r w:rsidRPr="00750D78">
              <w:rPr>
                <w:b/>
                <w:bCs/>
              </w:rPr>
              <w:t>-1) Retirer de l’ordre du jour du C</w:t>
            </w:r>
            <w:r w:rsidR="00C73EE2">
              <w:rPr>
                <w:b/>
                <w:bCs/>
              </w:rPr>
              <w:t>onseil de l’</w:t>
            </w:r>
            <w:r w:rsidRPr="00750D78">
              <w:rPr>
                <w:b/>
                <w:bCs/>
              </w:rPr>
              <w:t>O</w:t>
            </w:r>
            <w:r w:rsidR="00C73EE2">
              <w:rPr>
                <w:b/>
                <w:bCs/>
              </w:rPr>
              <w:t>rdre</w:t>
            </w:r>
            <w:r w:rsidRPr="00750D78">
              <w:rPr>
                <w:b/>
                <w:bCs/>
              </w:rPr>
              <w:t xml:space="preserve"> du 2</w:t>
            </w:r>
            <w:r w:rsidR="00C73EE2">
              <w:rPr>
                <w:b/>
                <w:bCs/>
              </w:rPr>
              <w:t xml:space="preserve"> décembre 2</w:t>
            </w:r>
            <w:r w:rsidRPr="00750D78">
              <w:rPr>
                <w:b/>
                <w:bCs/>
              </w:rPr>
              <w:t xml:space="preserve">014 le vote manifestement prématuré d’une modification du RIN permettant au N.A.S.E. d’intégrer le </w:t>
            </w:r>
            <w:r w:rsidR="00C73EE2">
              <w:rPr>
                <w:b/>
                <w:bCs/>
              </w:rPr>
              <w:t>B</w:t>
            </w:r>
            <w:r w:rsidRPr="00750D78">
              <w:rPr>
                <w:b/>
                <w:bCs/>
              </w:rPr>
              <w:t>arreau de P</w:t>
            </w:r>
            <w:r w:rsidR="00C73EE2">
              <w:rPr>
                <w:b/>
                <w:bCs/>
              </w:rPr>
              <w:t xml:space="preserve">aris </w:t>
            </w:r>
            <w:r w:rsidRPr="00750D78">
              <w:rPr>
                <w:b/>
                <w:bCs/>
              </w:rPr>
              <w:t>!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Cs/>
              </w:rPr>
              <w:t>Le projet M</w:t>
            </w:r>
            <w:r w:rsidR="00C73EE2">
              <w:rPr>
                <w:bCs/>
              </w:rPr>
              <w:t>acron</w:t>
            </w:r>
            <w:r w:rsidRPr="00750D78">
              <w:rPr>
                <w:bCs/>
              </w:rPr>
              <w:t xml:space="preserve"> n’est pas encore voté, il se heurte à l’opposition massive de tous les  barreaux de France, et</w:t>
            </w:r>
            <w:r w:rsidR="00C73EE2">
              <w:rPr>
                <w:bCs/>
              </w:rPr>
              <w:t>,</w:t>
            </w:r>
            <w:r w:rsidRPr="00750D78">
              <w:rPr>
                <w:bCs/>
              </w:rPr>
              <w:t xml:space="preserve"> par souci de dignité, il convient de reti</w:t>
            </w:r>
            <w:r w:rsidR="00C73EE2">
              <w:rPr>
                <w:bCs/>
              </w:rPr>
              <w:t>r</w:t>
            </w:r>
            <w:r w:rsidRPr="00750D78">
              <w:rPr>
                <w:bCs/>
              </w:rPr>
              <w:t>er le vote de cette résolution manifestement prématurée, le projet ayant été communiqué en outre fort tardivement afin de tronquer les débats !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  <w:r w:rsidRPr="00750D78">
              <w:rPr>
                <w:b/>
                <w:bCs/>
              </w:rPr>
              <w:t>2) Convoquer une Assemblée Générale des Avocats de P</w:t>
            </w:r>
            <w:r w:rsidR="00C73EE2">
              <w:rPr>
                <w:b/>
                <w:bCs/>
              </w:rPr>
              <w:t>aris</w:t>
            </w:r>
            <w:r w:rsidRPr="00750D78">
              <w:rPr>
                <w:bCs/>
              </w:rPr>
              <w:t>, appelée à se prononcer sur le projet M</w:t>
            </w:r>
            <w:r w:rsidR="00C73EE2">
              <w:rPr>
                <w:bCs/>
              </w:rPr>
              <w:t>acron</w:t>
            </w:r>
            <w:r w:rsidRPr="00750D78">
              <w:rPr>
                <w:bCs/>
              </w:rPr>
              <w:t xml:space="preserve"> comme nos textes le prévoient, ce qui n’est plus fait depuis plus de 20 ans !</w:t>
            </w:r>
          </w:p>
          <w:p w:rsidR="00486C91" w:rsidRPr="00750D78" w:rsidRDefault="00486C91" w:rsidP="00750D78">
            <w:pPr>
              <w:pStyle w:val="Default"/>
              <w:jc w:val="both"/>
              <w:rPr>
                <w:bCs/>
              </w:rPr>
            </w:pPr>
          </w:p>
          <w:p w:rsidR="00486C91" w:rsidRPr="00750D78" w:rsidRDefault="00486C91" w:rsidP="00750D78">
            <w:pPr>
              <w:pStyle w:val="Default"/>
              <w:jc w:val="both"/>
              <w:rPr>
                <w:b/>
                <w:bCs/>
              </w:rPr>
            </w:pPr>
            <w:r w:rsidRPr="00750D78">
              <w:rPr>
                <w:b/>
                <w:bCs/>
              </w:rPr>
              <w:lastRenderedPageBreak/>
              <w:t>3)</w:t>
            </w:r>
            <w:r w:rsidR="00C73EE2">
              <w:rPr>
                <w:b/>
                <w:bCs/>
              </w:rPr>
              <w:t xml:space="preserve"> </w:t>
            </w:r>
            <w:r w:rsidRPr="00750D78">
              <w:rPr>
                <w:b/>
                <w:bCs/>
              </w:rPr>
              <w:t>Inviter l’ensemble des avocats du Barreau de P</w:t>
            </w:r>
            <w:r w:rsidR="00C73EE2">
              <w:rPr>
                <w:b/>
                <w:bCs/>
              </w:rPr>
              <w:t>aris</w:t>
            </w:r>
            <w:r w:rsidRPr="00750D78">
              <w:rPr>
                <w:b/>
                <w:bCs/>
              </w:rPr>
              <w:t xml:space="preserve"> à rejoindre la journée nationale de mobilisation des Avocats fixée au 10 </w:t>
            </w:r>
            <w:r w:rsidR="00C73EE2">
              <w:rPr>
                <w:b/>
                <w:bCs/>
              </w:rPr>
              <w:t>d</w:t>
            </w:r>
            <w:r w:rsidRPr="00750D78">
              <w:rPr>
                <w:b/>
                <w:bCs/>
              </w:rPr>
              <w:t>écembre par le Conseil National des Barreaux, qui a seul</w:t>
            </w:r>
            <w:r w:rsidR="005D7528" w:rsidRPr="00750D78">
              <w:rPr>
                <w:b/>
                <w:bCs/>
              </w:rPr>
              <w:t xml:space="preserve"> vocati</w:t>
            </w:r>
            <w:r w:rsidR="002C0D09" w:rsidRPr="00750D78">
              <w:rPr>
                <w:b/>
                <w:bCs/>
              </w:rPr>
              <w:t>on à nous représenter, sauf à vous mettre en déni de démocratie.</w:t>
            </w:r>
          </w:p>
          <w:p w:rsidR="00486C91" w:rsidRPr="00394150" w:rsidRDefault="00486C91" w:rsidP="00750D78">
            <w:pPr>
              <w:pStyle w:val="Default"/>
              <w:ind w:left="720"/>
              <w:jc w:val="both"/>
              <w:rPr>
                <w:bCs/>
              </w:rPr>
            </w:pPr>
          </w:p>
          <w:p w:rsidR="00EA49A9" w:rsidRPr="00394150" w:rsidRDefault="00EA49A9" w:rsidP="00750D78">
            <w:pPr>
              <w:pStyle w:val="Default"/>
              <w:jc w:val="both"/>
              <w:rPr>
                <w:bCs/>
                <w:sz w:val="27"/>
                <w:szCs w:val="27"/>
              </w:rPr>
            </w:pPr>
            <w:proofErr w:type="gramStart"/>
            <w:r w:rsidRPr="00394150">
              <w:rPr>
                <w:bCs/>
              </w:rPr>
              <w:t xml:space="preserve">Vos </w:t>
            </w:r>
            <w:r w:rsidR="00C73EE2" w:rsidRPr="00394150">
              <w:rPr>
                <w:bCs/>
              </w:rPr>
              <w:t>b</w:t>
            </w:r>
            <w:r w:rsidRPr="00394150">
              <w:rPr>
                <w:bCs/>
              </w:rPr>
              <w:t>ien dévoués</w:t>
            </w:r>
            <w:proofErr w:type="gramEnd"/>
            <w:r w:rsidR="00394150" w:rsidRPr="00394150">
              <w:rPr>
                <w:bCs/>
              </w:rPr>
              <w:t>,</w:t>
            </w:r>
          </w:p>
          <w:p w:rsidR="00EA49A9" w:rsidRDefault="00EA49A9" w:rsidP="00EA49A9">
            <w:pPr>
              <w:pStyle w:val="Default"/>
              <w:rPr>
                <w:b/>
                <w:bCs/>
                <w:sz w:val="27"/>
                <w:szCs w:val="27"/>
              </w:rPr>
            </w:pPr>
          </w:p>
          <w:p w:rsidR="00C73EE2" w:rsidRDefault="00C73EE2" w:rsidP="00EA49A9">
            <w:pPr>
              <w:pStyle w:val="Defaul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Elizabeth Oster, Elisabeth Cauly, Avi Bitton, Membres du Conseil de l’Ordre (Paris)</w:t>
            </w:r>
          </w:p>
          <w:p w:rsidR="00B066D7" w:rsidRDefault="00B066D7" w:rsidP="00A05E8D">
            <w:pPr>
              <w:pStyle w:val="Default"/>
              <w:ind w:left="720"/>
              <w:jc w:val="center"/>
              <w:rPr>
                <w:b/>
                <w:bCs/>
                <w:sz w:val="27"/>
                <w:szCs w:val="27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5"/>
              <w:gridCol w:w="3125"/>
              <w:gridCol w:w="3125"/>
            </w:tblGrid>
            <w:tr w:rsidR="00B066D7" w:rsidRPr="00B066D7" w:rsidTr="00B066D7">
              <w:tc>
                <w:tcPr>
                  <w:tcW w:w="3125" w:type="dxa"/>
                  <w:shd w:val="clear" w:color="auto" w:fill="365F91" w:themeFill="accent1" w:themeFillShade="BF"/>
                </w:tcPr>
                <w:p w:rsidR="00B066D7" w:rsidRPr="00C73EE2" w:rsidRDefault="00B066D7" w:rsidP="00B066D7">
                  <w:pPr>
                    <w:pStyle w:val="Default"/>
                    <w:jc w:val="center"/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</w:pPr>
                  <w:r w:rsidRPr="00C73EE2"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  <w:t>Elizabeth OSTER</w:t>
                  </w:r>
                </w:p>
                <w:p w:rsidR="00B066D7" w:rsidRPr="00C73EE2" w:rsidRDefault="00B066D7" w:rsidP="00B066D7">
                  <w:pPr>
                    <w:pStyle w:val="Default"/>
                    <w:jc w:val="center"/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</w:pPr>
                  <w:r w:rsidRPr="00C73EE2"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  <w:t>MCO PARIS</w:t>
                  </w:r>
                </w:p>
              </w:tc>
              <w:tc>
                <w:tcPr>
                  <w:tcW w:w="3125" w:type="dxa"/>
                  <w:shd w:val="clear" w:color="auto" w:fill="365F91" w:themeFill="accent1" w:themeFillShade="BF"/>
                </w:tcPr>
                <w:p w:rsidR="00B066D7" w:rsidRPr="00C73EE2" w:rsidRDefault="00B066D7" w:rsidP="00B066D7">
                  <w:pPr>
                    <w:pStyle w:val="Default"/>
                    <w:jc w:val="center"/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</w:pPr>
                  <w:r w:rsidRPr="00C73EE2"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  <w:t>Elisabeth CAULY</w:t>
                  </w:r>
                </w:p>
                <w:p w:rsidR="00B066D7" w:rsidRPr="00C73EE2" w:rsidRDefault="00B066D7" w:rsidP="00B066D7">
                  <w:pPr>
                    <w:pStyle w:val="Default"/>
                    <w:jc w:val="center"/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</w:pPr>
                  <w:r w:rsidRPr="00C73EE2"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  <w:t>MCO PARIS</w:t>
                  </w:r>
                </w:p>
              </w:tc>
              <w:tc>
                <w:tcPr>
                  <w:tcW w:w="3125" w:type="dxa"/>
                  <w:shd w:val="clear" w:color="auto" w:fill="365F91" w:themeFill="accent1" w:themeFillShade="BF"/>
                </w:tcPr>
                <w:p w:rsidR="00B066D7" w:rsidRPr="00C73EE2" w:rsidRDefault="00B066D7" w:rsidP="00B066D7">
                  <w:pPr>
                    <w:pStyle w:val="Default"/>
                    <w:jc w:val="center"/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</w:pPr>
                  <w:r w:rsidRPr="00C73EE2"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  <w:t>Avi BITTON</w:t>
                  </w:r>
                </w:p>
                <w:p w:rsidR="00B066D7" w:rsidRPr="00C73EE2" w:rsidRDefault="00B066D7" w:rsidP="00B066D7">
                  <w:pPr>
                    <w:pStyle w:val="Default"/>
                    <w:jc w:val="center"/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</w:pPr>
                  <w:r w:rsidRPr="00C73EE2"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  <w:t>MCO PARIS</w:t>
                  </w:r>
                </w:p>
              </w:tc>
            </w:tr>
            <w:tr w:rsidR="00B066D7" w:rsidRPr="00B066D7" w:rsidTr="00B066D7">
              <w:tc>
                <w:tcPr>
                  <w:tcW w:w="3125" w:type="dxa"/>
                  <w:shd w:val="clear" w:color="auto" w:fill="365F91" w:themeFill="accent1" w:themeFillShade="BF"/>
                </w:tcPr>
                <w:p w:rsidR="00B066D7" w:rsidRPr="00B066D7" w:rsidRDefault="00B066D7" w:rsidP="00DF4A66">
                  <w:pPr>
                    <w:pStyle w:val="Default"/>
                    <w:jc w:val="both"/>
                    <w:rPr>
                      <w:b/>
                      <w:bCs/>
                      <w:sz w:val="27"/>
                      <w:szCs w:val="27"/>
                      <w:lang w:val="en-US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A7D4668" wp14:editId="33030F4D">
                        <wp:extent cx="1552575" cy="1910862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O small lettre ouverte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2575" cy="19108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5" w:type="dxa"/>
                  <w:shd w:val="clear" w:color="auto" w:fill="365F91" w:themeFill="accent1" w:themeFillShade="BF"/>
                </w:tcPr>
                <w:p w:rsidR="00B066D7" w:rsidRPr="00B066D7" w:rsidRDefault="00B066D7" w:rsidP="00DF4A66">
                  <w:pPr>
                    <w:pStyle w:val="Default"/>
                    <w:jc w:val="both"/>
                    <w:rPr>
                      <w:b/>
                      <w:bCs/>
                      <w:sz w:val="27"/>
                      <w:szCs w:val="27"/>
                      <w:lang w:val="en-US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76EB8D8" wp14:editId="0DB5EEF8">
                        <wp:extent cx="1704975" cy="2049248"/>
                        <wp:effectExtent l="0" t="0" r="0" b="8255"/>
                        <wp:docPr id="7" name="Image 7" descr="Elisabeth CAU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lisabeth CAU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5974" cy="20504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5" w:type="dxa"/>
                  <w:shd w:val="clear" w:color="auto" w:fill="365F91" w:themeFill="accent1" w:themeFillShade="BF"/>
                </w:tcPr>
                <w:p w:rsidR="00B066D7" w:rsidRPr="00B066D7" w:rsidRDefault="00B066D7" w:rsidP="00DF4A66">
                  <w:pPr>
                    <w:pStyle w:val="Default"/>
                    <w:jc w:val="both"/>
                    <w:rPr>
                      <w:b/>
                      <w:bCs/>
                      <w:sz w:val="27"/>
                      <w:szCs w:val="27"/>
                      <w:lang w:val="en-US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79D51ED" wp14:editId="095C9C8F">
                        <wp:extent cx="1504950" cy="1951732"/>
                        <wp:effectExtent l="0" t="0" r="0" b="0"/>
                        <wp:docPr id="8" name="Image 8" descr="https://encrypted-tbn3.gstatic.com/images?q=tbn:ANd9GcTVlOUuNrNc9_-MfEoYd7lHHiydNj0AMrbrTyHJ_CTFiDYVBSY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3.gstatic.com/images?q=tbn:ANd9GcTVlOUuNrNc9_-MfEoYd7lHHiydNj0AMrbrTyHJ_CTFiDYVBSY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19517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6C91" w:rsidRPr="00B066D7" w:rsidRDefault="00486C91" w:rsidP="00DF4A66">
            <w:pPr>
              <w:pStyle w:val="Default"/>
              <w:jc w:val="both"/>
              <w:rPr>
                <w:b/>
                <w:bCs/>
                <w:sz w:val="27"/>
                <w:szCs w:val="27"/>
                <w:lang w:val="en-US"/>
              </w:rPr>
            </w:pPr>
          </w:p>
          <w:p w:rsidR="00DF4A66" w:rsidRPr="00B066D7" w:rsidRDefault="00DF4A66" w:rsidP="00DF4A66">
            <w:pPr>
              <w:pStyle w:val="Default"/>
              <w:ind w:left="720"/>
              <w:jc w:val="both"/>
              <w:rPr>
                <w:b/>
                <w:bCs/>
                <w:sz w:val="27"/>
                <w:szCs w:val="27"/>
                <w:lang w:val="en-US"/>
              </w:rPr>
            </w:pPr>
          </w:p>
          <w:p w:rsidR="00486C91" w:rsidRPr="00B066D7" w:rsidRDefault="00486C91" w:rsidP="00A05E8D">
            <w:pPr>
              <w:pStyle w:val="Default"/>
              <w:ind w:left="720"/>
              <w:jc w:val="center"/>
              <w:rPr>
                <w:b/>
                <w:bCs/>
                <w:sz w:val="27"/>
                <w:szCs w:val="27"/>
                <w:lang w:val="en-US"/>
              </w:rPr>
            </w:pPr>
          </w:p>
          <w:p w:rsidR="00486C91" w:rsidRPr="000374F6" w:rsidRDefault="00A8397C" w:rsidP="00A8397C">
            <w:pPr>
              <w:pStyle w:val="Default"/>
              <w:jc w:val="both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  <w:lang w:val="en-US"/>
              </w:rPr>
              <w:t xml:space="preserve">                          </w:t>
            </w:r>
            <w:r w:rsidR="00DF4A66">
              <w:rPr>
                <w:b/>
                <w:bCs/>
                <w:sz w:val="27"/>
                <w:szCs w:val="27"/>
                <w:lang w:val="en-US"/>
              </w:rPr>
              <w:t xml:space="preserve">  </w:t>
            </w:r>
            <w:r>
              <w:rPr>
                <w:b/>
                <w:bCs/>
                <w:sz w:val="27"/>
                <w:szCs w:val="27"/>
                <w:lang w:val="en-US"/>
              </w:rPr>
              <w:t xml:space="preserve">    </w:t>
            </w:r>
          </w:p>
          <w:p w:rsidR="00DF4A66" w:rsidRPr="00753AA4" w:rsidRDefault="00DF4A66" w:rsidP="00B066D7">
            <w:pPr>
              <w:pStyle w:val="Default"/>
              <w:jc w:val="both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5325" w:type="dxa"/>
          </w:tcPr>
          <w:p w:rsidR="00486C91" w:rsidRPr="00753AA4" w:rsidRDefault="00486C91" w:rsidP="00A05E8D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42199" w:rsidRPr="00A8397C" w:rsidTr="00A05E8D">
        <w:trPr>
          <w:trHeight w:val="1308"/>
        </w:trPr>
        <w:tc>
          <w:tcPr>
            <w:tcW w:w="9606" w:type="dxa"/>
          </w:tcPr>
          <w:p w:rsidR="00942199" w:rsidRDefault="00942199" w:rsidP="00750D78">
            <w:pPr>
              <w:pStyle w:val="Default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325" w:type="dxa"/>
          </w:tcPr>
          <w:p w:rsidR="00942199" w:rsidRPr="00753AA4" w:rsidRDefault="00942199" w:rsidP="00A05E8D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ED14F1" w:rsidRDefault="00A8397C" w:rsidP="00A8397C">
      <w:pPr>
        <w:tabs>
          <w:tab w:val="left" w:pos="2490"/>
        </w:tabs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 w:rsidR="00DF4A66">
        <w:rPr>
          <w:lang w:val="en-US"/>
        </w:rPr>
        <w:t xml:space="preserve">  </w:t>
      </w:r>
    </w:p>
    <w:p w:rsidR="00A8397C" w:rsidRDefault="00A8397C" w:rsidP="00A8397C">
      <w:pPr>
        <w:tabs>
          <w:tab w:val="left" w:pos="2490"/>
        </w:tabs>
        <w:rPr>
          <w:lang w:val="en-US"/>
        </w:rPr>
      </w:pPr>
    </w:p>
    <w:p w:rsidR="00A8397C" w:rsidRDefault="00A8397C" w:rsidP="00A8397C">
      <w:pPr>
        <w:tabs>
          <w:tab w:val="left" w:pos="2490"/>
        </w:tabs>
        <w:rPr>
          <w:lang w:val="en-US"/>
        </w:rPr>
      </w:pPr>
    </w:p>
    <w:p w:rsidR="00A8397C" w:rsidRDefault="00A8397C" w:rsidP="00A8397C">
      <w:pPr>
        <w:tabs>
          <w:tab w:val="left" w:pos="2490"/>
        </w:tabs>
        <w:rPr>
          <w:lang w:val="en-US"/>
        </w:rPr>
      </w:pPr>
    </w:p>
    <w:p w:rsidR="00A8397C" w:rsidRDefault="00A8397C" w:rsidP="00A8397C">
      <w:pPr>
        <w:tabs>
          <w:tab w:val="left" w:pos="2490"/>
        </w:tabs>
        <w:rPr>
          <w:lang w:val="en-US"/>
        </w:rPr>
      </w:pPr>
    </w:p>
    <w:p w:rsidR="00A8397C" w:rsidRPr="002C0D09" w:rsidRDefault="00A8397C" w:rsidP="00A8397C">
      <w:pPr>
        <w:tabs>
          <w:tab w:val="left" w:pos="2490"/>
        </w:tabs>
        <w:rPr>
          <w:lang w:val="en-US"/>
        </w:rPr>
      </w:pPr>
    </w:p>
    <w:sectPr w:rsidR="00A8397C" w:rsidRPr="002C0D09" w:rsidSect="003941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C2" w:rsidRDefault="002A58C2" w:rsidP="00750D78">
      <w:pPr>
        <w:spacing w:after="0" w:line="240" w:lineRule="auto"/>
      </w:pPr>
      <w:r>
        <w:separator/>
      </w:r>
    </w:p>
  </w:endnote>
  <w:endnote w:type="continuationSeparator" w:id="0">
    <w:p w:rsidR="002A58C2" w:rsidRDefault="002A58C2" w:rsidP="0075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762038"/>
      <w:docPartObj>
        <w:docPartGallery w:val="Page Numbers (Bottom of Page)"/>
        <w:docPartUnique/>
      </w:docPartObj>
    </w:sdtPr>
    <w:sdtContent>
      <w:p w:rsidR="00750D78" w:rsidRDefault="00750D7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99">
          <w:rPr>
            <w:noProof/>
          </w:rPr>
          <w:t>3</w:t>
        </w:r>
        <w:r>
          <w:fldChar w:fldCharType="end"/>
        </w:r>
      </w:p>
    </w:sdtContent>
  </w:sdt>
  <w:p w:rsidR="00750D78" w:rsidRDefault="00750D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C2" w:rsidRDefault="002A58C2" w:rsidP="00750D78">
      <w:pPr>
        <w:spacing w:after="0" w:line="240" w:lineRule="auto"/>
      </w:pPr>
      <w:r>
        <w:separator/>
      </w:r>
    </w:p>
  </w:footnote>
  <w:footnote w:type="continuationSeparator" w:id="0">
    <w:p w:rsidR="002A58C2" w:rsidRDefault="002A58C2" w:rsidP="0075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407B2"/>
    <w:multiLevelType w:val="hybridMultilevel"/>
    <w:tmpl w:val="94249B92"/>
    <w:lvl w:ilvl="0" w:tplc="0572616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7408E"/>
    <w:multiLevelType w:val="hybridMultilevel"/>
    <w:tmpl w:val="DDE65E22"/>
    <w:lvl w:ilvl="0" w:tplc="5AC000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B12EC"/>
    <w:multiLevelType w:val="hybridMultilevel"/>
    <w:tmpl w:val="5C48B8FC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85897"/>
    <w:multiLevelType w:val="hybridMultilevel"/>
    <w:tmpl w:val="D01AF596"/>
    <w:lvl w:ilvl="0" w:tplc="44E2F95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212AA"/>
    <w:multiLevelType w:val="hybridMultilevel"/>
    <w:tmpl w:val="15248B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91"/>
    <w:rsid w:val="002A58C2"/>
    <w:rsid w:val="002C0D09"/>
    <w:rsid w:val="00320BE9"/>
    <w:rsid w:val="00394150"/>
    <w:rsid w:val="00486C91"/>
    <w:rsid w:val="004B30C0"/>
    <w:rsid w:val="005D7528"/>
    <w:rsid w:val="006D6360"/>
    <w:rsid w:val="00750D78"/>
    <w:rsid w:val="00867229"/>
    <w:rsid w:val="00942199"/>
    <w:rsid w:val="00A8397C"/>
    <w:rsid w:val="00B066D7"/>
    <w:rsid w:val="00C73EE2"/>
    <w:rsid w:val="00DF4A66"/>
    <w:rsid w:val="00EA49A9"/>
    <w:rsid w:val="00E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83D1F-5EE0-4EEE-BABE-A0357110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86C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6C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9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D78"/>
  </w:style>
  <w:style w:type="paragraph" w:styleId="Pieddepage">
    <w:name w:val="footer"/>
    <w:basedOn w:val="Normal"/>
    <w:link w:val="PieddepageCar"/>
    <w:uiPriority w:val="99"/>
    <w:unhideWhenUsed/>
    <w:rsid w:val="0075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</dc:creator>
  <cp:keywords/>
  <dc:description/>
  <cp:lastModifiedBy>Avi Bitton</cp:lastModifiedBy>
  <cp:revision>3</cp:revision>
  <dcterms:created xsi:type="dcterms:W3CDTF">2014-12-08T15:43:00Z</dcterms:created>
  <dcterms:modified xsi:type="dcterms:W3CDTF">2014-12-08T15:45:00Z</dcterms:modified>
</cp:coreProperties>
</file>